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0" w:after="216"/>
        <w:rPr/>
      </w:pPr>
      <w:r>
        <w:rPr>
          <w:rFonts w:ascii="Arial" w:hAnsi="Arial"/>
        </w:rPr>
        <w:t>Un vistazo a la serie de la Escuela de la Vida</w:t>
      </w:r>
    </w:p>
    <w:p>
      <w:pPr>
        <w:pStyle w:val="NormalWeb"/>
        <w:spacing w:lineRule="auto" w:line="276" w:before="0" w:after="216"/>
        <w:rPr>
          <w:rFonts w:ascii="Arial" w:hAnsi="Arial"/>
        </w:rPr>
      </w:pPr>
      <w:r>
        <w:rPr>
          <w:rFonts w:ascii="Arial" w:hAnsi="Arial"/>
        </w:rPr>
        <w:t>Ivan Figueroa-Otero MD FACS FAAAP</w:t>
      </w:r>
    </w:p>
    <w:p>
      <w:pPr>
        <w:pStyle w:val="NormalWeb"/>
        <w:spacing w:lineRule="auto" w:line="276" w:before="0" w:after="216"/>
        <w:rPr/>
      </w:pPr>
      <w:r>
        <w:rPr>
          <w:rFonts w:ascii="Arial" w:hAnsi="Arial"/>
        </w:rPr>
        <w:t>Soy un cirujano pediátrico jubilado de 75 años y actualmente practico la medicina holística y acupuntura tradicional china. También soy el autor de una serie de trilogías sobre La Escuela de la Vida, las cuales comencé a escribir en la tierna edad de 70 años.</w:t>
      </w:r>
    </w:p>
    <w:p>
      <w:pPr>
        <w:pStyle w:val="NormalWeb"/>
        <w:spacing w:lineRule="auto" w:line="276" w:before="0" w:after="216"/>
        <w:rPr>
          <w:rFonts w:ascii="Arial" w:hAnsi="Arial"/>
        </w:rPr>
      </w:pPr>
      <w:r>
        <w:rPr>
          <w:rFonts w:ascii="Arial" w:hAnsi="Arial"/>
        </w:rPr>
        <w:t>El propósito de mis libros es promover la matricula simbólica de mis lectores en el curso de preparación para tomar el examen final de nuestras vidas. Como verán, mis libros intentan enseñar a los lectores las habilidades necesarias para aprobar esta prueba, que es un requisito para volver a nuestra fuente creativa: la luz. Los libros describen el propósito y objetivos de cada curso, la estructura curricular y la serie de reajustes que los estudiantes deben aprender y entender para poder recordar de dónde vinieron. Aprenderán sobre el amor, la compasión y todas las cosas bellas que pueden ayudarlos a disfrutar de este viaje que llamamos vida.</w:t>
      </w:r>
    </w:p>
    <w:p>
      <w:pPr>
        <w:pStyle w:val="NormalWeb"/>
        <w:spacing w:lineRule="auto" w:line="276" w:before="0" w:after="216"/>
        <w:rPr/>
      </w:pPr>
      <w:r>
        <w:rPr>
          <w:rFonts w:ascii="Arial" w:hAnsi="Arial"/>
        </w:rPr>
        <w:t xml:space="preserve">Finalmente, los libros tienen como objetivo ayudar a las personas a encontrar las lecciones de amor ocultas en sus fracasos, que cambiarán sus historias y los transformarán en los superhéroes de sus misiones. En esta escuela todos estamos motivados, tanto por nuestros compañeros de clase como por nosotros mismos, para iniciar viajes intemporales a través de los tempestuosos océanos de nuestras mentes, para así llegar a destinos desafiantes que vuelvan a </w:t>
      </w:r>
      <w:r>
        <w:rPr>
          <w:rFonts w:ascii="Arial" w:hAnsi="Arial"/>
          <w:color w:val="000000"/>
        </w:rPr>
        <w:t>armonizar</w:t>
      </w:r>
      <w:r>
        <w:rPr>
          <w:rFonts w:ascii="Arial" w:hAnsi="Arial"/>
        </w:rPr>
        <w:t xml:space="preserve"> nuestras vidas.</w:t>
      </w:r>
    </w:p>
    <w:p>
      <w:pPr>
        <w:pStyle w:val="NormalWeb"/>
        <w:spacing w:lineRule="auto" w:line="276" w:before="0" w:after="216"/>
        <w:rPr/>
      </w:pPr>
      <w:r>
        <w:rPr>
          <w:rFonts w:ascii="Arial" w:hAnsi="Arial"/>
        </w:rPr>
        <w:t>Los textos de la trilogía in</w:t>
      </w:r>
      <w:r>
        <w:rPr>
          <w:rFonts w:ascii="Arial" w:hAnsi="Arial"/>
          <w:color w:val="000000"/>
        </w:rPr>
        <w:t>icial son testimonios de las primeras lecciones que aprendí en mi experiencia curricular.</w:t>
      </w:r>
      <w:r>
        <w:rPr>
          <w:rFonts w:ascii="Arial" w:hAnsi="Arial"/>
        </w:rPr>
        <w:t xml:space="preserve"> Yo busqué el conocimiento en la parte externa de mi realidad tridimensional, solo para encontrarlo en los reinos internos de mi mente espiritual. Desde entonces, decidí dejar de aprender del parloteo </w:t>
      </w:r>
      <w:r>
        <w:rPr>
          <w:rFonts w:ascii="Arial" w:hAnsi="Arial"/>
          <w:color w:val="000000"/>
        </w:rPr>
        <w:t>tentador</w:t>
      </w:r>
      <w:r>
        <w:rPr>
          <w:rFonts w:ascii="Arial" w:hAnsi="Arial"/>
        </w:rPr>
        <w:t xml:space="preserve"> de nuestra mente y enfocarme en recordar mi sabiduría oculta. </w:t>
      </w:r>
      <w:r>
        <w:rPr>
          <w:rFonts w:ascii="Arial" w:hAnsi="Arial"/>
          <w:color w:val="000000"/>
        </w:rPr>
        <w:t>Fue</w:t>
      </w:r>
      <w:r>
        <w:rPr>
          <w:rFonts w:ascii="Arial" w:hAnsi="Arial"/>
        </w:rPr>
        <w:t xml:space="preserve"> como encontrar el tesoro más buscado en mi propio patio. La nueva trilogía tiene aprendizajes más avanzados, precedida por un libro de transición que examina la sabiduría esencial de los primeros tres libros y sirve como una introducción al próximo nivel.</w:t>
      </w:r>
    </w:p>
    <w:p>
      <w:pPr>
        <w:pStyle w:val="NormalWeb"/>
        <w:spacing w:lineRule="auto" w:line="276" w:before="0" w:after="216"/>
        <w:rPr>
          <w:rFonts w:ascii="Arial" w:hAnsi="Arial"/>
        </w:rPr>
      </w:pPr>
      <w:r>
        <w:rPr>
          <w:rFonts w:ascii="Arial" w:hAnsi="Arial"/>
        </w:rPr>
        <w:t>¿Quiénes somos? ¿De dónde venimos? ¿A dónde nos dirigimos?</w:t>
      </w:r>
    </w:p>
    <w:p>
      <w:pPr>
        <w:pStyle w:val="NormalWeb"/>
        <w:spacing w:lineRule="auto" w:line="276" w:before="0" w:after="216"/>
        <w:rPr/>
      </w:pPr>
      <w:r>
        <w:rPr>
          <w:rFonts w:ascii="Arial" w:hAnsi="Arial"/>
        </w:rPr>
        <w:t xml:space="preserve">Estas son las preguntas que comenzaron mi búsqueda, y que </w:t>
      </w:r>
      <w:r>
        <w:rPr>
          <w:rFonts w:ascii="Arial" w:hAnsi="Arial"/>
          <w:color w:val="000000"/>
        </w:rPr>
        <w:t>podrían</w:t>
      </w:r>
      <w:r>
        <w:rPr>
          <w:rFonts w:ascii="Arial" w:hAnsi="Arial"/>
        </w:rPr>
        <w:t xml:space="preserve"> guiar a otros a formular sus propias preguntas y encontrar sus respuestas únicas, que no son necesariamente las que entiendo como mías. La singularidad de nuestro proceso creativo requiere un conjunto específico de respuestas para cada viaje.</w:t>
      </w:r>
    </w:p>
    <w:p>
      <w:pPr>
        <w:pStyle w:val="NormalWeb"/>
        <w:spacing w:lineRule="auto" w:line="276" w:before="0" w:after="216"/>
        <w:rPr>
          <w:rFonts w:ascii="Arial" w:hAnsi="Arial"/>
        </w:rPr>
      </w:pPr>
      <w:r>
        <w:rPr>
          <w:rFonts w:ascii="Arial" w:hAnsi="Arial"/>
        </w:rPr>
      </w:r>
    </w:p>
    <w:p>
      <w:pPr>
        <w:pStyle w:val="NormalWeb"/>
        <w:spacing w:lineRule="auto" w:line="276" w:before="0" w:after="216"/>
        <w:rPr>
          <w:rFonts w:ascii="Arial" w:hAnsi="Arial"/>
        </w:rPr>
      </w:pPr>
      <w:r>
        <w:rPr>
          <w:rFonts w:ascii="Arial" w:hAnsi="Arial"/>
        </w:rPr>
        <w:t>El currículo</w:t>
      </w:r>
    </w:p>
    <w:p>
      <w:pPr>
        <w:pStyle w:val="NormalWeb"/>
        <w:spacing w:lineRule="auto" w:line="276" w:before="0" w:after="216"/>
        <w:rPr/>
      </w:pPr>
      <w:r>
        <w:rPr>
          <w:rFonts w:ascii="Arial" w:hAnsi="Arial"/>
        </w:rPr>
        <w:t>El plan de estudios es diseñado para que el alumno establezca el aprendizaje</w:t>
      </w:r>
      <w:r>
        <w:rPr>
          <w:rFonts w:ascii="Arial" w:hAnsi="Arial"/>
          <w:lang w:eastAsia="en-US"/>
        </w:rPr>
        <w:t xml:space="preserve"> a </w:t>
      </w:r>
      <w:r>
        <w:rPr>
          <w:rFonts w:ascii="Arial" w:hAnsi="Arial"/>
        </w:rPr>
        <w:t>su propio ritmo y para empezar al nivel que se sienta más cómodo. Le permite al estudiante aplicar el material estudiado en su experiencia de la vida diaria y descubrir las lecciones de amor dentro de su universo interior.</w:t>
      </w:r>
    </w:p>
    <w:p>
      <w:pPr>
        <w:pStyle w:val="NormalWeb"/>
        <w:spacing w:lineRule="auto" w:line="276" w:before="0" w:after="216"/>
        <w:rPr/>
      </w:pPr>
      <w:r>
        <w:rPr>
          <w:rFonts w:ascii="Arial" w:hAnsi="Arial"/>
        </w:rPr>
        <w:t xml:space="preserve">La serie de Espiritualidad se divide en dos niveles. La trilogía 100 es el nivel básico, seguido por la trilogía 200, que es el nivel avanzado. Se intercala un curso de transición para la revisión del nivel anterior. Los libros de la trilogía 200 se consideran niveles de posgrado, donde la mayoría de los estudiantes necesitarán comprender el nivel básico antes de emprender la experiencia avanzada. </w:t>
      </w:r>
    </w:p>
    <w:p>
      <w:pPr>
        <w:pStyle w:val="NormalWeb"/>
        <w:spacing w:lineRule="auto" w:line="276" w:before="0" w:after="216"/>
        <w:rPr/>
      </w:pPr>
      <w:r>
        <w:rPr>
          <w:rFonts w:ascii="Arial" w:hAnsi="Arial"/>
        </w:rPr>
        <w:t>La serie 200 representa las fases finales del regreso de nuestro viaje multidimensional a nuestra fuente o sitio de partida. Estos representan los segmentos emocionales, mentales y espirituales de nuestro viaje, que iniciaron nuestra exploración universal en las profundidades inexplorada</w:t>
      </w:r>
      <w:r>
        <w:rPr>
          <w:rFonts w:ascii="Arial" w:hAnsi="Arial"/>
          <w:color w:val="000000"/>
        </w:rPr>
        <w:t>s de nuestra creación. Estas son las fases de reconexión e integración, que nos permiten combinar todas las áreas de la experiencia universal en un holograma inclusivo, para p</w:t>
      </w:r>
      <w:r>
        <w:rPr>
          <w:rFonts w:ascii="Arial" w:hAnsi="Arial"/>
        </w:rPr>
        <w:t xml:space="preserve">oder disfrutar de la sinfonía armónica hemos creado con nuestra mente. Al final de este viaje, deberíamos estar listos para descansar en la vacuidad de nuestro estado meditativo final. </w:t>
      </w:r>
    </w:p>
    <w:p>
      <w:pPr>
        <w:pStyle w:val="NormalWeb"/>
        <w:spacing w:lineRule="auto" w:line="276" w:before="0" w:after="216"/>
        <w:rPr/>
      </w:pPr>
      <w:r>
        <w:rPr>
          <w:rFonts w:ascii="Arial" w:hAnsi="Arial"/>
        </w:rPr>
        <w:t>El nivel básico incluye Espiritualidad 101, Espiritualidad 1.2 y Espiritualidad 103.</w:t>
      </w:r>
    </w:p>
    <w:p>
      <w:pPr>
        <w:pStyle w:val="NormalWeb"/>
        <w:spacing w:lineRule="auto" w:line="276" w:before="0" w:after="216"/>
        <w:rPr/>
      </w:pPr>
      <w:r>
        <w:rPr>
          <w:rFonts w:ascii="Arial" w:hAnsi="Arial"/>
          <w:i/>
          <w:iCs/>
        </w:rPr>
        <w:t>Espiritualidad 101 Para los Colgaos de la Escuela de la Vida</w:t>
      </w:r>
      <w:r>
        <w:rPr>
          <w:rFonts w:ascii="Arial" w:hAnsi="Arial"/>
        </w:rPr>
        <w:t xml:space="preserve"> (publicado) hace hincapié en que cada fracaso siempre resulta en un proceso de aprendizaje, lo que nos permite reestructurar nuestro plan de estudio para seguir tomando las pruebas hasta que aprendamos la lección. Estas pruebas no deben interpretarse como un castigo de los regentes de nuestra escuela universal, sino más bien como un acto amoroso de paciencia y confianza en nuestra capacidad para aprobarlas. “Colga'os” son aquellos que se dieron por vencidos y dejaron de tomar sus exámenes. </w:t>
      </w:r>
    </w:p>
    <w:p>
      <w:pPr>
        <w:pStyle w:val="NormalWeb"/>
        <w:spacing w:lineRule="auto" w:line="276" w:before="0" w:after="216"/>
        <w:rPr/>
      </w:pPr>
      <w:r>
        <w:rPr>
          <w:rFonts w:ascii="Arial" w:hAnsi="Arial"/>
          <w:i/>
          <w:iCs/>
        </w:rPr>
        <w:t>Espiritualidad 1.2 Para los Desconectados de la Escuela de la Vida</w:t>
      </w:r>
      <w:r>
        <w:rPr>
          <w:rFonts w:ascii="Arial" w:hAnsi="Arial"/>
        </w:rPr>
        <w:t xml:space="preserve"> (publicado) se dirige a las mentes más jóvenes, cuya perspectiva diaria depende más de la tecnología moderna, y transforma el punto de vista científico y religioso tradicional en uno cibernético. En este libro nos convertimos en programadores y navegadores de dominio cibernético, que varían en experiencias personales de acuerdo con la pureza del programa original y su grado de corrupción. Por lo tanto, la mejor manera de mejorar nuestra experiencia de navegación individual es reprogramando, actualizando nuestro software y purgando nuestros sistemas operativos de todas las invasiones virales. El libro presenta técnicas que facilitan el proceso de reprogramación y aprendizaje. </w:t>
      </w:r>
    </w:p>
    <w:p>
      <w:pPr>
        <w:pStyle w:val="NormalWeb"/>
        <w:spacing w:lineRule="auto" w:line="276" w:before="0" w:after="216"/>
        <w:rPr/>
      </w:pPr>
      <w:r>
        <w:rPr>
          <w:rFonts w:ascii="Arial" w:hAnsi="Arial"/>
          <w:i/>
          <w:iCs/>
        </w:rPr>
        <w:t>Espiritualidad 103, El Código perdón: Encontrando la Luz en Nuestras Sombras</w:t>
      </w:r>
      <w:r>
        <w:rPr>
          <w:rFonts w:ascii="Arial" w:hAnsi="Arial"/>
        </w:rPr>
        <w:t xml:space="preserve"> (publicado)es una guía para que los estudiantes descubran nuevas perspectivas para las tres preguntas presentadas en el nivel 101. Aquí se discuten las técnicas que nos ayudan erradicar con eficacia toda la culpa que hemos acumulado en nuestros programas de aprendizaje. La culpa se compara con cicatrices emocionales en el espejo de nuestra mente que aún no han sanado, sufridas mientras nuestra alma (Guerrero de la Luz) se enfrentaba en las batallas (pruebas) de la Escuela de la Vida. La meta de aprendizaje principal en este nivel es el auto-perdón.</w:t>
      </w:r>
    </w:p>
    <w:p>
      <w:pPr>
        <w:pStyle w:val="NormalWeb"/>
        <w:spacing w:lineRule="auto" w:line="276" w:before="0" w:after="216"/>
        <w:rPr/>
      </w:pPr>
      <w:r>
        <w:rPr>
          <w:rFonts w:ascii="Arial" w:hAnsi="Arial"/>
        </w:rPr>
        <w:t>Curso de transición entre las trilogías</w:t>
      </w:r>
    </w:p>
    <w:p>
      <w:pPr>
        <w:pStyle w:val="NormalWeb"/>
        <w:spacing w:lineRule="auto" w:line="276" w:before="0" w:after="216"/>
        <w:rPr/>
      </w:pPr>
      <w:r>
        <w:rPr>
          <w:rFonts w:ascii="Arial" w:hAnsi="Arial"/>
          <w:i/>
          <w:iCs/>
        </w:rPr>
        <w:t>Espiritualidad 104 Lecciones de amor de la Escuela de la Vida</w:t>
      </w:r>
      <w:r>
        <w:rPr>
          <w:rFonts w:ascii="Arial" w:hAnsi="Arial"/>
        </w:rPr>
        <w:t xml:space="preserve"> (finalizado, para ser publicado) es una transición entre la primera trilogía (101-103) y la segunda trilogía (201-203) de la Escuela de la Vida. Le permite a los estudiantes activos revisar las lecciones de amor más importantes antes de proseguir al siguiente nivel. Además, este libro facilita la inscripción de nuevos estudiantes de otras escuelas, para que puedan unirse a los estudiantes más avanzados sin sentirse perdidos. Es una selección de cincuenta y dos frases de la primera trilogía de libros, discutidas en detalle para revisar las lecciones ocultas en cada frase, en formato de ejercicios semanales. Cada cita incluye practicas meditativas, de introspección y de plenitud mental. </w:t>
      </w:r>
    </w:p>
    <w:p>
      <w:pPr>
        <w:pStyle w:val="NormalWeb"/>
        <w:spacing w:lineRule="auto" w:line="276" w:before="0" w:after="216"/>
        <w:rPr/>
      </w:pPr>
      <w:r>
        <w:rPr>
          <w:rFonts w:ascii="Arial" w:hAnsi="Arial"/>
        </w:rPr>
        <w:t>Nivel avanzado: Espiritualidad 201, Espiritualidad 202 y Espiritualidad 203</w:t>
      </w:r>
    </w:p>
    <w:p>
      <w:pPr>
        <w:pStyle w:val="NormalWeb"/>
        <w:spacing w:lineRule="auto" w:line="276" w:before="0" w:after="216"/>
        <w:rPr/>
      </w:pPr>
      <w:r>
        <w:rPr>
          <w:rFonts w:ascii="Arial" w:hAnsi="Arial"/>
        </w:rPr>
        <w:t>Esta nueva trilogía nos permite comprender cómo las experiencias de aprendizaje, originadas por nuestras intenciones en los niveles mentales y emocionales, crearon alteraciones holográficas en los archivos históricos de nuestro ADN. Estas alteraciones originaron muchas de las desarmonías que luego se presentan como enfermedades en las experiencias dimensionales inferiores de los viajeros.</w:t>
      </w:r>
    </w:p>
    <w:p>
      <w:pPr>
        <w:pStyle w:val="NormalWeb"/>
        <w:spacing w:lineRule="auto" w:line="276" w:before="0" w:after="216"/>
        <w:rPr/>
      </w:pPr>
      <w:r>
        <w:rPr>
          <w:rFonts w:ascii="Arial" w:hAnsi="Arial"/>
          <w:i/>
          <w:iCs/>
        </w:rPr>
        <w:t>Espiritualidad 201, Sanando el cáncer en nuestros genes: La reprogramación epigenética de nuestro código de ADN corrupto</w:t>
      </w:r>
      <w:r>
        <w:rPr>
          <w:rFonts w:ascii="Arial" w:hAnsi="Arial"/>
        </w:rPr>
        <w:t xml:space="preserve"> (finalizado, inédito) muestra cómo las influencias epigenéticas (estilos tóxicos de vida emocional y nutricional) acumulados en nuestro acervo genético terminarán creando mutaciones dañinas que pueden precipitar el cáncer y otras enfermedades en nuestras generaciones actuales y futuras. El libro cita la literatura científica más reciente para probar su hipótesis. Además, señala que todas estas tendencias mutacionales negativas pueden ser silenciadas con cambios correctivos en los estilos de vida epigenéticos.</w:t>
      </w:r>
    </w:p>
    <w:p>
      <w:pPr>
        <w:pStyle w:val="NormalWeb"/>
        <w:spacing w:lineRule="auto" w:line="276" w:before="0" w:after="216"/>
        <w:rPr/>
      </w:pPr>
      <w:r>
        <w:rPr>
          <w:rFonts w:ascii="Arial" w:hAnsi="Arial"/>
        </w:rPr>
        <w:t>En Espiritualidad 201 se discuten técnicas detalladas sobre cómo prevenir e influir en el proceso de sanación de la mayoría de las enfermedades, y la importancia del principio de f</w:t>
      </w:r>
      <w:r>
        <w:rPr>
          <w:rFonts w:ascii="Arial" w:hAnsi="Arial"/>
          <w:color w:val="000000"/>
        </w:rPr>
        <w:t>e</w:t>
      </w:r>
      <w:r>
        <w:rPr>
          <w:rFonts w:ascii="Arial" w:hAnsi="Arial"/>
        </w:rPr>
        <w:t xml:space="preserve">, al que llamo </w:t>
      </w:r>
      <w:r>
        <w:rPr>
          <w:rFonts w:ascii="Arial" w:hAnsi="Arial"/>
          <w:i/>
          <w:iCs/>
        </w:rPr>
        <w:t>FAITH</w:t>
      </w:r>
      <w:r>
        <w:rPr>
          <w:rFonts w:ascii="Arial" w:hAnsi="Arial"/>
        </w:rPr>
        <w:t xml:space="preserve"> (Fully Allowing Inner Wisdom To Heal) y el efecto placebo en el proceso de curación de cualquier enfermedad. El libro revisa la importancia del Código del Perdón presentado en libro Espiritualidad 103. Incluye una discusión profunda sobre los pros y los contras del tratamiento moderno tradicional del cáncer frente al enfoque integral.</w:t>
      </w:r>
    </w:p>
    <w:p>
      <w:pPr>
        <w:pStyle w:val="NormalWeb"/>
        <w:spacing w:before="0" w:after="216"/>
        <w:rPr/>
      </w:pPr>
      <w:r>
        <w:rPr>
          <w:rFonts w:ascii="Arial" w:hAnsi="Arial"/>
        </w:rPr>
        <w:t>Los próximos dos libros representan las fases finales del regreso de nuestro viaje multidimensional hacia nuestro punto de partida. Estas son las fases de reconexión e integración, donde armamos el rompecabezas de nuestra experiencia universal.</w:t>
      </w:r>
    </w:p>
    <w:p>
      <w:pPr>
        <w:pStyle w:val="Normal"/>
        <w:spacing w:lineRule="auto" w:line="276" w:before="0" w:after="216"/>
        <w:rPr/>
      </w:pPr>
      <w:r>
        <w:rPr>
          <w:rFonts w:ascii="Arial" w:hAnsi="Arial"/>
          <w:sz w:val="24"/>
          <w:szCs w:val="24"/>
        </w:rPr>
        <w:t xml:space="preserve">Espiritualidad 202, </w:t>
      </w:r>
      <w:r>
        <w:rPr>
          <w:rFonts w:ascii="Arial" w:hAnsi="Arial"/>
          <w:i/>
          <w:iCs/>
          <w:color w:val="000000"/>
          <w:sz w:val="24"/>
          <w:szCs w:val="24"/>
        </w:rPr>
        <w:t>Descubriendo</w:t>
      </w:r>
      <w:r>
        <w:rPr>
          <w:rFonts w:ascii="Arial" w:hAnsi="Arial"/>
          <w:i/>
          <w:iCs/>
          <w:sz w:val="24"/>
          <w:szCs w:val="24"/>
        </w:rPr>
        <w:t xml:space="preserve"> el sanador interno: Un manual de autosanación para terapeutas</w:t>
      </w:r>
      <w:r>
        <w:rPr>
          <w:rFonts w:ascii="Arial" w:hAnsi="Arial"/>
          <w:sz w:val="24"/>
          <w:szCs w:val="24"/>
        </w:rPr>
        <w:t xml:space="preserve"> (finalizado, inédito) explica cómo los terapeutas, dentro de sus diversos estilos, pueden ser más efectivos con sus técnicas sin alejarse de su campo de experiencia actual. Este libro orienta al terapeuta para entender que la clave para lograr la sanación es la combinación de la intención del sanador con la facilitación por parte del paciente. Es como el efecto placebo, donde la Fe del paciente complementa la intención del terapeuta. Igual se revisa cómo las experiencias kármicas influencian las experiencias de enfermedad individuales y colectivas y como la herencia influye en todo el proceso de sanación.</w:t>
      </w:r>
    </w:p>
    <w:p>
      <w:pPr>
        <w:pStyle w:val="NormalWeb"/>
        <w:spacing w:lineRule="auto" w:line="276" w:before="0" w:after="216"/>
        <w:rPr/>
      </w:pPr>
      <w:r>
        <w:rPr>
          <w:rFonts w:ascii="Arial" w:hAnsi="Arial"/>
        </w:rPr>
        <w:t>Este libro discute en detalle la influencia de la intención del sanador y la facilitación del paciente para activar el principio sanador de la fe (FAITH). Se aleja del el estilo tradicional basado en el médico-terapeuta como eje principal para la curación, para pasar a uno centrado en el paciente, donde el terapeuta es un facilitador externo que permite que la sabiduría interna del paciente guíe el proceso de curación. Cuando el terapeuta está "a cargo" puede diagnosticar erróneamente la condición del paciente debido a su entrenamiento específico.</w:t>
      </w:r>
    </w:p>
    <w:p>
      <w:pPr>
        <w:pStyle w:val="NormalWeb"/>
        <w:spacing w:lineRule="auto" w:line="276" w:before="0" w:after="216"/>
        <w:rPr/>
      </w:pPr>
      <w:r>
        <w:rPr>
          <w:rFonts w:ascii="Arial" w:hAnsi="Arial"/>
        </w:rPr>
        <w:t>Se ofrece una discusión detallada sobre cómo los terapeutas podemos evitar nuestro prejuicio en la interpretación del diagnóstico y en la aplicación de la terapia. El análisis incluye abstenerse de tratar el síntoma más notable que presenta en el cuerpo como la causa de la enfermedad, ya que solo representa la alarma que nuestra sabiduría innata usa para promover la eliminación de los verdaderos orígenes de nuestra enfermedad.</w:t>
      </w:r>
    </w:p>
    <w:p>
      <w:pPr>
        <w:pStyle w:val="NormalWeb"/>
        <w:spacing w:lineRule="auto" w:line="276" w:before="0" w:after="216"/>
        <w:rPr/>
      </w:pPr>
      <w:r>
        <w:rPr>
          <w:rFonts w:ascii="Arial" w:hAnsi="Arial"/>
          <w:i/>
          <w:iCs/>
        </w:rPr>
        <w:t xml:space="preserve">Espiritualidad 203, El </w:t>
      </w:r>
      <w:r>
        <w:rPr>
          <w:rFonts w:ascii="Arial" w:hAnsi="Arial"/>
          <w:i/>
          <w:iCs/>
          <w:color w:val="000000"/>
        </w:rPr>
        <w:t>u</w:t>
      </w:r>
      <w:commentRangeStart w:id="0"/>
      <w:r>
        <w:rPr>
          <w:rFonts w:ascii="Arial" w:hAnsi="Arial"/>
          <w:i/>
          <w:iCs/>
          <w:color w:val="000000"/>
        </w:rPr>
        <w:t>n</w:t>
      </w:r>
      <w:r>
        <w:rPr>
          <w:rFonts w:ascii="Arial" w:hAnsi="Arial"/>
          <w:i/>
          <w:iCs/>
        </w:rPr>
        <w:t>i</w:t>
      </w:r>
      <w:r>
        <w:rPr>
          <w:rFonts w:ascii="Arial" w:hAnsi="Arial"/>
          <w:i/>
          <w:iCs/>
          <w:color w:val="000000"/>
        </w:rPr>
        <w:t>verso</w:t>
      </w:r>
      <w:r>
        <w:rPr>
          <w:rFonts w:ascii="Arial" w:hAnsi="Arial"/>
          <w:i/>
          <w:iCs/>
          <w:color w:val="000000"/>
        </w:rPr>
      </w:r>
      <w:commentRangeEnd w:id="0"/>
      <w:r>
        <w:commentReference w:id="0"/>
      </w:r>
      <w:r>
        <w:rPr/>
        <w:commentReference w:id="1"/>
      </w:r>
      <w:r>
        <w:rPr>
          <w:rFonts w:ascii="Arial" w:hAnsi="Arial"/>
          <w:i/>
          <w:iCs/>
          <w:color w:val="000000"/>
        </w:rPr>
        <w:t xml:space="preserve"> en su gran perfección: Presenciando la vida como es y no como queremos que sea</w:t>
      </w:r>
      <w:r>
        <w:rPr>
          <w:rFonts w:ascii="Arial" w:hAnsi="Arial"/>
          <w:color w:val="000000"/>
        </w:rPr>
        <w:t>, e</w:t>
      </w:r>
      <w:r>
        <w:rPr>
          <w:rFonts w:ascii="Arial" w:hAnsi="Arial"/>
        </w:rPr>
        <w:t>s el último libro de la segunda trilogía. Aquí vemos una investigación profunda centrada en la mente y el desarrollo de la consciencia, y cómo juntas co-crean el universo como una Ilusión mágica. Es similar al arsenal de trucos del mago, donde el ilusionista no debe confundir su acto con la realidad su vida. El mago representa nuestra mente, y la consciencia, el cuaderno d</w:t>
      </w:r>
      <w:bookmarkStart w:id="0" w:name="_GoBack"/>
      <w:bookmarkEnd w:id="0"/>
      <w:r>
        <w:rPr>
          <w:rFonts w:ascii="Arial" w:hAnsi="Arial"/>
        </w:rPr>
        <w:t>e trucos que guarda todas las técnicas que aseguran el éxito de la ilusión mágica. El público representa las mentes de otros seres que, si no saben que lo que observan solo son ilusiones mágicas, pueden creer que son una realidad.</w:t>
      </w:r>
    </w:p>
    <w:p>
      <w:pPr>
        <w:pStyle w:val="Normal"/>
        <w:spacing w:lineRule="auto" w:line="276" w:before="0" w:after="216"/>
        <w:rPr/>
      </w:pPr>
      <w:r>
        <w:rPr>
          <w:rFonts w:ascii="Arial" w:hAnsi="Arial"/>
          <w:sz w:val="24"/>
          <w:szCs w:val="24"/>
        </w:rPr>
        <w:t>Para entender el proceso generativo, o cosmogénesis, de nuestro universo, se revisan las principales visiones religiosas y filosóficas que se han esforzado en explicarlo. Sin embargo, por mi prejuicio y entrenamiento, dedico un poco más de tiempo a lo que mis maestros me enseñaron en mi práctica del budismo tibetano. No espero que mi explicación represente la filosofía autentica que transmite un Lama a su estudiante, sino más bien lo que yo pude captar de lo que escuché y entendí.</w:t>
      </w:r>
    </w:p>
    <w:p>
      <w:pPr>
        <w:pStyle w:val="Normal"/>
        <w:spacing w:lineRule="auto" w:line="276" w:before="0" w:after="216"/>
        <w:rPr/>
      </w:pPr>
      <w:r>
        <w:rPr>
          <w:rFonts w:ascii="Arial" w:hAnsi="Arial"/>
          <w:sz w:val="24"/>
          <w:szCs w:val="24"/>
        </w:rPr>
        <w:t>El libro explica cómo las dos vertientes de la mente, la absoluta y la relativa, aparecen de forma espontánea con la aparición de la consciencia del ser y cómo crean la ilusión del dualismo que fomenta las visiones oposicionales que generan las emociones y el sufrimiento. Describe el despertar de la dualidad conceptual como una vitrina mágica de tiempo, apego y el ciclo del renacimiento que conocemos como samsara. La discusión incluye la visión asiática del renacimiento y la integra a una perspectiva más inclusiva con la tradición judeocristiana.</w:t>
      </w:r>
    </w:p>
    <w:p>
      <w:pPr>
        <w:pStyle w:val="Normal"/>
        <w:spacing w:lineRule="auto" w:line="276" w:before="0" w:after="216"/>
        <w:rPr>
          <w:rFonts w:ascii="Arial" w:hAnsi="Arial"/>
          <w:sz w:val="24"/>
          <w:szCs w:val="24"/>
        </w:rPr>
      </w:pPr>
      <w:r>
        <w:rPr>
          <w:rFonts w:ascii="Arial" w:hAnsi="Arial"/>
          <w:sz w:val="24"/>
          <w:szCs w:val="24"/>
        </w:rPr>
      </w:r>
    </w:p>
    <w:p>
      <w:pPr>
        <w:pStyle w:val="NormalWeb"/>
        <w:spacing w:lineRule="auto" w:line="276" w:before="0" w:after="216"/>
        <w:rPr>
          <w:rFonts w:ascii="Arial" w:hAnsi="Arial"/>
        </w:rPr>
      </w:pPr>
      <w:r>
        <w:rPr>
          <w:rFonts w:ascii="Arial" w:hAnsi="Arial"/>
        </w:rPr>
        <w:t>Información de contacto:</w:t>
      </w:r>
    </w:p>
    <w:p>
      <w:pPr>
        <w:pStyle w:val="NormalWeb"/>
        <w:spacing w:lineRule="auto" w:line="276" w:before="0" w:after="216"/>
        <w:rPr/>
      </w:pPr>
      <w:r>
        <w:rPr>
          <w:rFonts w:ascii="Arial" w:hAnsi="Arial"/>
        </w:rPr>
        <w:t xml:space="preserve">Página del autor: </w:t>
      </w:r>
      <w:hyperlink r:id="rId2">
        <w:r>
          <w:rPr>
            <w:rStyle w:val="InternetLink"/>
            <w:rFonts w:ascii="Arial" w:hAnsi="Arial"/>
          </w:rPr>
          <w:t>http://ifigueroa.allauthor.com/</w:t>
        </w:r>
      </w:hyperlink>
      <w:r>
        <w:rPr>
          <w:rFonts w:ascii="Arial" w:hAnsi="Arial"/>
        </w:rPr>
        <w:t xml:space="preserve"> </w:t>
      </w:r>
    </w:p>
    <w:p>
      <w:pPr>
        <w:pStyle w:val="NormalWeb"/>
        <w:spacing w:lineRule="auto" w:line="276" w:before="0" w:after="216"/>
        <w:rPr/>
      </w:pPr>
      <w:r>
        <w:rPr>
          <w:rFonts w:ascii="Arial" w:hAnsi="Arial"/>
        </w:rPr>
        <w:t xml:space="preserve">Página personal: </w:t>
      </w:r>
      <w:hyperlink r:id="rId3">
        <w:r>
          <w:rPr>
            <w:rStyle w:val="InternetLink"/>
            <w:rFonts w:ascii="Arial" w:hAnsi="Arial"/>
          </w:rPr>
          <w:t>www.ivanfigueroaoteromd.com</w:t>
        </w:r>
      </w:hyperlink>
      <w:r>
        <w:rPr>
          <w:rFonts w:ascii="Arial" w:hAnsi="Arial"/>
        </w:rPr>
        <w:t xml:space="preserve"> </w:t>
      </w:r>
    </w:p>
    <w:p>
      <w:pPr>
        <w:pStyle w:val="NormalWeb"/>
        <w:spacing w:lineRule="auto" w:line="276" w:before="0" w:after="216"/>
        <w:rPr/>
      </w:pPr>
      <w:r>
        <w:rPr>
          <w:rFonts w:ascii="Arial" w:hAnsi="Arial"/>
        </w:rPr>
        <w:t xml:space="preserve">Correo electrónico: </w:t>
      </w:r>
      <w:hyperlink r:id="rId4">
        <w:r>
          <w:rPr>
            <w:rStyle w:val="InternetLink"/>
            <w:rFonts w:ascii="Arial" w:hAnsi="Arial"/>
          </w:rPr>
          <w:t>ifiguero@prtc.net</w:t>
        </w:r>
      </w:hyperlink>
      <w:r>
        <w:rPr>
          <w:rFonts w:ascii="Arial" w:hAnsi="Arial"/>
        </w:rPr>
        <w:t xml:space="preserve"> </w:t>
      </w:r>
    </w:p>
    <w:p>
      <w:pPr>
        <w:pStyle w:val="NormalWeb"/>
        <w:spacing w:lineRule="auto" w:line="276" w:before="0" w:after="216"/>
        <w:rPr/>
      </w:pPr>
      <w:r>
        <w:rPr>
          <w:rFonts w:ascii="Arial" w:hAnsi="Arial"/>
        </w:rPr>
        <w:t>Teléfono: 787-399-2041</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Ivan Figueroa" w:date="2019-12-29T10:57:00Z" w:initials="IF">
    <w:p>
      <w:r>
        <w:rPr>
          <w:rFonts w:ascii="Liberation Serif" w:hAnsi="Liberation Serif" w:eastAsia="DejaVu Sans" w:cs="DejaVu Sans"/>
          <w:color w:val="auto"/>
          <w:sz w:val="24"/>
          <w:szCs w:val="24"/>
          <w:lang w:val="en-US" w:eastAsia="en-US" w:bidi="en-US"/>
        </w:rPr>
        <w:t>No entiendo porque no capitalizas como parte de titulo y subtitulo.</w:t>
      </w:r>
    </w:p>
  </w:comment>
  <w:comment w:id="1" w:author="Unknown Author" w:date="2020-01-02T12:33:47Z" w:initials="">
    <w:p>
      <w:r>
        <w:rPr>
          <w:rFonts w:cs="Arial"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s-PR" w:bidi="ar-SA" w:eastAsia="en-US"/>
        </w:rPr>
        <w:t>Reply to Ivan Figueroa (12/29/2019, 10:57): "..."</w:t>
      </w:r>
    </w:p>
    <w:p>
      <w:r>
        <w:rPr>
          <w:rFonts w:ascii="Liberation Serif" w:hAnsi="Liberation Serif" w:eastAsia="DejaVu Sans" w:cs="DejaVu Sans"/>
          <w:color w:val="auto"/>
          <w:sz w:val="20"/>
          <w:szCs w:val="24"/>
          <w:lang w:val="es-PR" w:eastAsia="en-US" w:bidi="ar-SA"/>
        </w:rPr>
        <w:t>Porque está incorrecto. Con el pasar de los años he ido aprendiendo más sobre el idioma y las reglas, y además se han revisado muchas. Los títulos y subtítulos en español solo llevan mayúscula en la primera palabra. Los libros anteriores se deben dejar como están porque así se publicaron, pero los nuevos deben estar correctos.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Arial">
    <w:charset w:val="01"/>
    <w:family w:val="swiss"/>
    <w:pitch w:val="default"/>
  </w:font>
  <w:font w:name="Liberation Sans">
    <w:altName w:val="Arial"/>
    <w:charset w:val="01"/>
    <w:family w:val="swiss"/>
    <w:pitch w:val="default"/>
  </w:font>
  <w:font w:name="Times New Roman">
    <w:charset w:val="01"/>
    <w:family w:val="swiss"/>
    <w:pitch w:val="default"/>
  </w:font>
  <w:font w:name="Liberation Serif">
    <w:altName w:val="Times New Roman"/>
    <w:charset w:val="01"/>
    <w:family w:val="swiss"/>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es-PR"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s-P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Arial"/>
      <w:color w:val="00000A"/>
      <w:kern w:val="0"/>
      <w:sz w:val="22"/>
      <w:szCs w:val="22"/>
      <w:lang w:val="es-PR"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semiHidden/>
    <w:unhideWhenUsed/>
    <w:rsid w:val="00d05e54"/>
    <w:rPr>
      <w:color w:val="0000FF"/>
      <w:u w:val="single"/>
    </w:rPr>
  </w:style>
  <w:style w:type="character" w:styleId="ListLabel1" w:customStyle="1">
    <w:name w:val="ListLabel 1"/>
    <w:qFormat/>
    <w:rPr>
      <w:rFonts w:ascii="Calibri" w:hAnsi="Calibri" w:cs="Calibri"/>
      <w:color w:val="0563C1"/>
    </w:rPr>
  </w:style>
  <w:style w:type="character" w:styleId="Annotationreference">
    <w:name w:val="annotation reference"/>
    <w:basedOn w:val="DefaultParagraphFont"/>
    <w:uiPriority w:val="99"/>
    <w:semiHidden/>
    <w:unhideWhenUsed/>
    <w:qFormat/>
    <w:rsid w:val="00c374eb"/>
    <w:rPr>
      <w:sz w:val="16"/>
      <w:szCs w:val="16"/>
    </w:rPr>
  </w:style>
  <w:style w:type="character" w:styleId="CommentTextChar" w:customStyle="1">
    <w:name w:val="Comment Text Char"/>
    <w:basedOn w:val="DefaultParagraphFont"/>
    <w:link w:val="CommentText"/>
    <w:uiPriority w:val="99"/>
    <w:semiHidden/>
    <w:qFormat/>
    <w:rsid w:val="00c374eb"/>
    <w:rPr>
      <w:color w:val="00000A"/>
      <w:szCs w:val="20"/>
    </w:rPr>
  </w:style>
  <w:style w:type="character" w:styleId="CommentSubjectChar" w:customStyle="1">
    <w:name w:val="Comment Subject Char"/>
    <w:basedOn w:val="CommentTextChar"/>
    <w:link w:val="CommentSubject"/>
    <w:uiPriority w:val="99"/>
    <w:semiHidden/>
    <w:qFormat/>
    <w:rsid w:val="00c374eb"/>
    <w:rPr>
      <w:b/>
      <w:bCs/>
      <w:color w:val="00000A"/>
      <w:szCs w:val="20"/>
    </w:rPr>
  </w:style>
  <w:style w:type="character" w:styleId="BalloonTextChar" w:customStyle="1">
    <w:name w:val="Balloon Text Char"/>
    <w:basedOn w:val="DefaultParagraphFont"/>
    <w:link w:val="BalloonText"/>
    <w:uiPriority w:val="99"/>
    <w:semiHidden/>
    <w:qFormat/>
    <w:rsid w:val="00c374eb"/>
    <w:rPr>
      <w:rFonts w:ascii="Segoe UI" w:hAnsi="Segoe UI" w:cs="Segoe UI"/>
      <w:color w:val="00000A"/>
      <w:sz w:val="18"/>
      <w:szCs w:val="18"/>
    </w:rPr>
  </w:style>
  <w:style w:type="character" w:styleId="ListLabel2">
    <w:name w:val="ListLabel 2"/>
    <w:qFormat/>
    <w:rPr>
      <w:rFonts w:ascii="Arial" w:hAnsi="Arial"/>
    </w:rPr>
  </w:style>
  <w:style w:type="character" w:styleId="ListLabel3">
    <w:name w:val="ListLabel 3"/>
    <w:qFormat/>
    <w:rPr>
      <w:rFonts w:ascii="Arial" w:hAnsi="Aria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customStyle="1">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rmalWeb">
    <w:name w:val="Normal (Web)"/>
    <w:basedOn w:val="Normal"/>
    <w:uiPriority w:val="99"/>
    <w:unhideWhenUsed/>
    <w:qFormat/>
    <w:rsid w:val="00d05e54"/>
    <w:pPr>
      <w:spacing w:lineRule="auto" w:line="240" w:before="280" w:after="280"/>
    </w:pPr>
    <w:rPr>
      <w:rFonts w:ascii="Times New Roman" w:hAnsi="Times New Roman" w:eastAsia="Times New Roman" w:cs="Times New Roman"/>
      <w:sz w:val="24"/>
      <w:szCs w:val="24"/>
      <w:lang w:eastAsia="es-PR"/>
    </w:rPr>
  </w:style>
  <w:style w:type="paragraph" w:styleId="Annotationtext">
    <w:name w:val="annotation text"/>
    <w:basedOn w:val="Normal"/>
    <w:link w:val="CommentTextChar"/>
    <w:uiPriority w:val="99"/>
    <w:semiHidden/>
    <w:unhideWhenUsed/>
    <w:qFormat/>
    <w:rsid w:val="00c374eb"/>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c374eb"/>
    <w:pPr/>
    <w:rPr>
      <w:b/>
      <w:bCs/>
    </w:rPr>
  </w:style>
  <w:style w:type="paragraph" w:styleId="BalloonText">
    <w:name w:val="Balloon Text"/>
    <w:basedOn w:val="Normal"/>
    <w:link w:val="BalloonTextChar"/>
    <w:uiPriority w:val="99"/>
    <w:semiHidden/>
    <w:unhideWhenUsed/>
    <w:qFormat/>
    <w:rsid w:val="00c374e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nslate.google.com/translate?hl=es&amp;prev=_t&amp;sl=en&amp;tl=es&amp;u=http://ifigueroa.allauthor.com/" TargetMode="External"/><Relationship Id="rId3" Type="http://schemas.openxmlformats.org/officeDocument/2006/relationships/hyperlink" Target="https://translate.google.com/translate?hl=es&amp;prev=_t&amp;sl=en&amp;tl=es&amp;u=http://www.ivanfigueroaoteromd.com" TargetMode="External"/><Relationship Id="rId4" Type="http://schemas.openxmlformats.org/officeDocument/2006/relationships/hyperlink" Target="mailto:ifiguero@prtc.net" TargetMode="Externa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Application>LibreOffice/6.0.7.3$Linux_X86_64 LibreOffice_project/00m0$Build-3</Application>
  <Pages>5</Pages>
  <Words>1894</Words>
  <Characters>10303</Characters>
  <CharactersWithSpaces>12171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2019-12-29T15:01:00Z</dcterms:created>
  <dc:creator>Ivan Figueroa</dc:creator>
  <dc:description/>
  <dc:language>en-US</dc:language>
  <cp:lastModifiedBy>Yasmin Rodriguez</cp:lastModifiedBy>
  <dcterms:modified xsi:type="dcterms:W3CDTF">2020-01-23T16:12:11Z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